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904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6A0" w:firstRow="1" w:lastRow="0" w:firstColumn="1" w:lastColumn="0" w:noHBand="1" w:noVBand="1"/>
      </w:tblPr>
      <w:tblGrid>
        <w:gridCol w:w="1260"/>
        <w:gridCol w:w="7785"/>
      </w:tblGrid>
      <w:tr w:rsidR="2B4D33E7" w14:paraId="6E80958D" w14:textId="77777777" w:rsidTr="6A91E915">
        <w:trPr>
          <w:trHeight w:val="302"/>
        </w:trPr>
        <w:tc>
          <w:tcPr>
            <w:tcW w:w="1260" w:type="dxa"/>
            <w:vAlign w:val="center"/>
          </w:tcPr>
          <w:p w14:paraId="528C5381" w14:textId="379DA935"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Documento:</w:t>
            </w:r>
          </w:p>
        </w:tc>
        <w:tc>
          <w:tcPr>
            <w:tcW w:w="7785" w:type="dxa"/>
            <w:vAlign w:val="center"/>
          </w:tcPr>
          <w:p w14:paraId="3B56ECDC" w14:textId="471F50AF" w:rsidR="2B4D33E7" w:rsidRDefault="00B564D1"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Relación de información – Publicación del Representante a la Cámara Pedro Paternina</w:t>
            </w:r>
          </w:p>
        </w:tc>
      </w:tr>
      <w:tr w:rsidR="2B4D33E7" w14:paraId="752DC610" w14:textId="77777777" w:rsidTr="6A91E915">
        <w:trPr>
          <w:trHeight w:val="300"/>
        </w:trPr>
        <w:tc>
          <w:tcPr>
            <w:tcW w:w="1260" w:type="dxa"/>
            <w:vAlign w:val="center"/>
          </w:tcPr>
          <w:p w14:paraId="575E7CBF" w14:textId="2A340EB1"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w:t>
            </w:r>
          </w:p>
        </w:tc>
        <w:tc>
          <w:tcPr>
            <w:tcW w:w="7785" w:type="dxa"/>
            <w:vAlign w:val="center"/>
          </w:tcPr>
          <w:p w14:paraId="2DE4DEB9" w14:textId="7958B5CC"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 de Gestión del Sector Eléctrico Colombiano</w:t>
            </w:r>
          </w:p>
        </w:tc>
      </w:tr>
      <w:tr w:rsidR="2B4D33E7" w14:paraId="03DF8AB1" w14:textId="77777777" w:rsidTr="6A91E915">
        <w:trPr>
          <w:trHeight w:val="300"/>
        </w:trPr>
        <w:tc>
          <w:tcPr>
            <w:tcW w:w="1260" w:type="dxa"/>
            <w:vAlign w:val="center"/>
          </w:tcPr>
          <w:p w14:paraId="04908FFB" w14:textId="59B3CACF"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Fecha:</w:t>
            </w:r>
          </w:p>
        </w:tc>
        <w:tc>
          <w:tcPr>
            <w:tcW w:w="7785" w:type="dxa"/>
            <w:vAlign w:val="center"/>
          </w:tcPr>
          <w:p w14:paraId="0F79C694" w14:textId="7815A07A" w:rsidR="2B4D33E7" w:rsidRDefault="00B564D1"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27</w:t>
            </w:r>
            <w:r w:rsidR="2B4D33E7" w:rsidRPr="6A91E915">
              <w:rPr>
                <w:rFonts w:ascii="Arial" w:eastAsia="Arial" w:hAnsi="Arial" w:cs="Arial"/>
                <w:color w:val="BFBFBF" w:themeColor="background1" w:themeShade="BF"/>
                <w:sz w:val="18"/>
                <w:szCs w:val="18"/>
                <w:lang w:val="es-CO"/>
              </w:rPr>
              <w:t xml:space="preserve"> de</w:t>
            </w:r>
            <w:r>
              <w:rPr>
                <w:rFonts w:ascii="Arial" w:eastAsia="Arial" w:hAnsi="Arial" w:cs="Arial"/>
                <w:color w:val="BFBFBF" w:themeColor="background1" w:themeShade="BF"/>
                <w:sz w:val="18"/>
                <w:szCs w:val="18"/>
                <w:lang w:val="es-CO"/>
              </w:rPr>
              <w:t xml:space="preserve"> julio</w:t>
            </w:r>
            <w:r w:rsidR="2B4D33E7" w:rsidRPr="6A91E915">
              <w:rPr>
                <w:rFonts w:ascii="Arial" w:eastAsia="Arial" w:hAnsi="Arial" w:cs="Arial"/>
                <w:color w:val="BFBFBF" w:themeColor="background1" w:themeShade="BF"/>
                <w:sz w:val="18"/>
                <w:szCs w:val="18"/>
                <w:lang w:val="es-CO"/>
              </w:rPr>
              <w:t xml:space="preserve"> de 20</w:t>
            </w:r>
            <w:r>
              <w:rPr>
                <w:rFonts w:ascii="Arial" w:eastAsia="Arial" w:hAnsi="Arial" w:cs="Arial"/>
                <w:color w:val="BFBFBF" w:themeColor="background1" w:themeShade="BF"/>
                <w:sz w:val="18"/>
                <w:szCs w:val="18"/>
                <w:lang w:val="es-CO"/>
              </w:rPr>
              <w:t>26</w:t>
            </w:r>
          </w:p>
        </w:tc>
      </w:tr>
    </w:tbl>
    <w:p w14:paraId="5FC533C2" w14:textId="3B2C045F" w:rsidR="029C20C5" w:rsidRDefault="00B564D1" w:rsidP="620BC7E3">
      <w:pPr>
        <w:pStyle w:val="Ttulo1"/>
        <w:jc w:val="center"/>
        <w:rPr>
          <w:rFonts w:ascii="Arial" w:eastAsia="Arial" w:hAnsi="Arial" w:cs="Arial"/>
          <w:b/>
          <w:bCs/>
          <w:color w:val="000000" w:themeColor="text1"/>
          <w:sz w:val="24"/>
          <w:szCs w:val="24"/>
        </w:rPr>
      </w:pPr>
      <w:r>
        <w:rPr>
          <w:rFonts w:ascii="Arial" w:eastAsia="Arial" w:hAnsi="Arial" w:cs="Arial"/>
          <w:b/>
          <w:bCs/>
          <w:color w:val="000000" w:themeColor="text1"/>
          <w:sz w:val="24"/>
          <w:szCs w:val="24"/>
        </w:rPr>
        <w:t xml:space="preserve">ACTUALIZACIÓN DE INFORMACIÓN SUMINSTRADA POR PEDRO PATERNINA </w:t>
      </w:r>
    </w:p>
    <w:p w14:paraId="02F9F617" w14:textId="73B01512" w:rsidR="029C20C5" w:rsidRDefault="029C20C5" w:rsidP="6B2A584D">
      <w:pPr>
        <w:keepNext/>
        <w:keepLines/>
        <w:spacing w:after="0"/>
        <w:jc w:val="both"/>
        <w:rPr>
          <w:lang w:val="es-CO"/>
        </w:rPr>
      </w:pPr>
    </w:p>
    <w:p w14:paraId="509B6C2B" w14:textId="77777777" w:rsidR="00B564D1" w:rsidRDefault="00B564D1" w:rsidP="00B564D1">
      <w:pPr>
        <w:pStyle w:val="Prrafodelista"/>
        <w:numPr>
          <w:ilvl w:val="0"/>
          <w:numId w:val="5"/>
        </w:numPr>
        <w:spacing w:line="278" w:lineRule="auto"/>
        <w:jc w:val="both"/>
      </w:pPr>
      <w:r>
        <w:t>Reservas hídricas</w:t>
      </w:r>
    </w:p>
    <w:p w14:paraId="759188CE" w14:textId="77777777" w:rsidR="00B564D1" w:rsidRPr="00FD76ED" w:rsidRDefault="00B564D1" w:rsidP="00B564D1">
      <w:pPr>
        <w:jc w:val="both"/>
      </w:pPr>
      <w:r>
        <w:t xml:space="preserve">En lo que respecta a la capacidad de los embalses, conforme a lo consultado en el consolidado de </w:t>
      </w:r>
      <w:r w:rsidRPr="00E21489">
        <w:rPr>
          <w:i/>
          <w:iCs/>
        </w:rPr>
        <w:t>Reservas Hídricas del SIN</w:t>
      </w:r>
      <w:r w:rsidRPr="0055249D">
        <w:t xml:space="preserve"> </w:t>
      </w:r>
      <w:r>
        <w:rPr>
          <w:rStyle w:val="Refdenotaalpie"/>
        </w:rPr>
        <w:footnoteReference w:id="1"/>
      </w:r>
      <w:r w:rsidRPr="0055249D">
        <w:t>de XM, la capacidad está al 80,82%</w:t>
      </w:r>
      <w:r>
        <w:t xml:space="preserve"> (ver </w:t>
      </w:r>
      <w:r w:rsidRPr="00E21489">
        <w:rPr>
          <w:b/>
          <w:bCs/>
        </w:rPr>
        <w:fldChar w:fldCharType="begin"/>
      </w:r>
      <w:r w:rsidRPr="00E21489">
        <w:rPr>
          <w:b/>
          <w:bCs/>
        </w:rPr>
        <w:instrText xml:space="preserve"> REF _Ref236048931 \h  \* MERGEFORMAT </w:instrText>
      </w:r>
      <w:r w:rsidRPr="00E21489">
        <w:rPr>
          <w:b/>
          <w:bCs/>
        </w:rPr>
      </w:r>
      <w:r w:rsidRPr="00E21489">
        <w:rPr>
          <w:b/>
          <w:bCs/>
        </w:rPr>
        <w:fldChar w:fldCharType="separate"/>
      </w:r>
      <w:r w:rsidRPr="00E21489">
        <w:rPr>
          <w:b/>
          <w:bCs/>
        </w:rPr>
        <w:t xml:space="preserve">Figura </w:t>
      </w:r>
      <w:r w:rsidRPr="00E21489">
        <w:rPr>
          <w:b/>
          <w:bCs/>
          <w:noProof/>
        </w:rPr>
        <w:t>1</w:t>
      </w:r>
      <w:r w:rsidRPr="00E21489">
        <w:rPr>
          <w:b/>
          <w:bCs/>
        </w:rPr>
        <w:fldChar w:fldCharType="end"/>
      </w:r>
      <w:r>
        <w:t>)</w:t>
      </w:r>
      <w:r w:rsidRPr="0055249D">
        <w:t>, contrario a lo informado por el señor Ped</w:t>
      </w:r>
      <w:r>
        <w:t>r</w:t>
      </w:r>
      <w:r w:rsidRPr="0055249D">
        <w:t>o Antonio (61%)</w:t>
      </w:r>
      <w:r>
        <w:t xml:space="preserve">, así mismo, desde abril del presente año, se ha evidenciado un aumento progresivo producto de la gestión del embalse con el fin de afrontar el fenómeno “El Niño”. </w:t>
      </w:r>
    </w:p>
    <w:p w14:paraId="6B3A4935" w14:textId="77777777" w:rsidR="00B564D1" w:rsidRDefault="00B564D1" w:rsidP="00B564D1">
      <w:pPr>
        <w:pStyle w:val="Descripcin"/>
        <w:jc w:val="center"/>
        <w:rPr>
          <w:b/>
          <w:bCs/>
        </w:rPr>
      </w:pPr>
      <w:bookmarkStart w:id="0" w:name="_Ref236048931"/>
      <w:r>
        <w:t xml:space="preserve">Figura </w:t>
      </w:r>
      <w:r>
        <w:fldChar w:fldCharType="begin"/>
      </w:r>
      <w:r>
        <w:instrText xml:space="preserve"> SEQ Figura \* ARABIC </w:instrText>
      </w:r>
      <w:r>
        <w:fldChar w:fldCharType="separate"/>
      </w:r>
      <w:r>
        <w:rPr>
          <w:noProof/>
        </w:rPr>
        <w:t>1</w:t>
      </w:r>
      <w:r>
        <w:rPr>
          <w:noProof/>
        </w:rPr>
        <w:fldChar w:fldCharType="end"/>
      </w:r>
      <w:bookmarkEnd w:id="0"/>
      <w:r>
        <w:t>. Evolución de las reservas hídricas del Sistema Interconectado Nacional</w:t>
      </w:r>
    </w:p>
    <w:p w14:paraId="3617788E" w14:textId="77777777" w:rsidR="00B564D1" w:rsidRDefault="00B564D1" w:rsidP="00B564D1">
      <w:pPr>
        <w:jc w:val="center"/>
        <w:rPr>
          <w:b/>
          <w:bCs/>
        </w:rPr>
      </w:pPr>
      <w:r w:rsidRPr="00884F44">
        <w:rPr>
          <w:b/>
          <w:bCs/>
          <w:noProof/>
        </w:rPr>
        <w:drawing>
          <wp:inline distT="0" distB="0" distL="0" distR="0" wp14:anchorId="42DEEC02" wp14:editId="7D10F1C6">
            <wp:extent cx="4588510" cy="1815935"/>
            <wp:effectExtent l="0" t="0" r="2540" b="0"/>
            <wp:docPr id="16484019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401913" name=""/>
                    <pic:cNvPicPr/>
                  </pic:nvPicPr>
                  <pic:blipFill rotWithShape="1">
                    <a:blip r:embed="rId10"/>
                    <a:srcRect l="1599" t="12834" r="2187" b="4971"/>
                    <a:stretch>
                      <a:fillRect/>
                    </a:stretch>
                  </pic:blipFill>
                  <pic:spPr bwMode="auto">
                    <a:xfrm>
                      <a:off x="0" y="0"/>
                      <a:ext cx="4589935" cy="1816499"/>
                    </a:xfrm>
                    <a:prstGeom prst="rect">
                      <a:avLst/>
                    </a:prstGeom>
                    <a:ln>
                      <a:noFill/>
                    </a:ln>
                    <a:extLst>
                      <a:ext uri="{53640926-AAD7-44D8-BBD7-CCE9431645EC}">
                        <a14:shadowObscured xmlns:a14="http://schemas.microsoft.com/office/drawing/2010/main"/>
                      </a:ext>
                    </a:extLst>
                  </pic:spPr>
                </pic:pic>
              </a:graphicData>
            </a:graphic>
          </wp:inline>
        </w:drawing>
      </w:r>
      <w:r w:rsidRPr="00884F44">
        <w:rPr>
          <w:b/>
          <w:bCs/>
          <w:noProof/>
        </w:rPr>
        <w:t xml:space="preserve"> </w:t>
      </w:r>
    </w:p>
    <w:p w14:paraId="3D78B4A1" w14:textId="77777777" w:rsidR="00B564D1" w:rsidRDefault="00B564D1" w:rsidP="00B564D1">
      <w:pPr>
        <w:pStyle w:val="Descripcin"/>
        <w:jc w:val="center"/>
      </w:pPr>
      <w:r>
        <w:t>Fuente: Extraído de XM, 2026</w:t>
      </w:r>
    </w:p>
    <w:p w14:paraId="5AB6648C" w14:textId="77777777" w:rsidR="00B564D1" w:rsidRDefault="00B564D1" w:rsidP="00B564D1">
      <w:pPr>
        <w:pStyle w:val="Prrafodelista"/>
        <w:numPr>
          <w:ilvl w:val="0"/>
          <w:numId w:val="5"/>
        </w:numPr>
        <w:spacing w:line="278" w:lineRule="auto"/>
        <w:jc w:val="both"/>
      </w:pPr>
      <w:r>
        <w:t>Pronostico del fenómeno de “El Niño”</w:t>
      </w:r>
    </w:p>
    <w:p w14:paraId="223C2375" w14:textId="77777777" w:rsidR="00B564D1" w:rsidRDefault="00B564D1" w:rsidP="00B564D1">
      <w:pPr>
        <w:jc w:val="both"/>
      </w:pPr>
      <w:r w:rsidRPr="00EE68B7">
        <w:t xml:space="preserve">De acuerdo con el Comunicado Especial No. 074 </w:t>
      </w:r>
      <w:r w:rsidRPr="00EE68B7">
        <w:rPr>
          <w:rStyle w:val="Refdenotaalpie"/>
        </w:rPr>
        <w:footnoteReference w:id="2"/>
      </w:r>
      <w:r w:rsidRPr="00EE68B7">
        <w:t xml:space="preserve"> del IDEAM, en el país se lleva a cabo un monitoreo permanente que se complementa con los análisis emitidos por los principales centros internacionales de predicción climática</w:t>
      </w:r>
      <w:r>
        <w:t>. S</w:t>
      </w:r>
      <w:r w:rsidRPr="00EE68B7">
        <w:t xml:space="preserve">e ha identificado que el Fenómeno de El Niño 2026-2027 podría ser uno de los eventos de mayor magnitud registrados desde 1950, estimándose una probabilidad superior al 97 % de que su persistencia se extienda hasta el primer trimestre de 2027 y un 81 % de probabilidad de que su pico de mayor intensidad se presente entre octubre de 2026 y enero de 2027. </w:t>
      </w:r>
    </w:p>
    <w:p w14:paraId="7828F5C0" w14:textId="77777777" w:rsidR="00B564D1" w:rsidRDefault="00B564D1" w:rsidP="00B564D1">
      <w:pPr>
        <w:jc w:val="both"/>
      </w:pPr>
      <w:r w:rsidRPr="000331D1">
        <w:t xml:space="preserve">Los escenarios probabilísticos no permiten pronosticar exactamente los niveles ni duración de sequias en el país, sin embargo, desde el Ministerio de Minas y Energía se </w:t>
      </w:r>
      <w:r w:rsidRPr="000331D1">
        <w:lastRenderedPageBreak/>
        <w:t xml:space="preserve">ha venido realizando un proceso de planificación técnica que busca fortalecer la resiliencia del sector energético antes de que se consoliden los impactos del Fenómeno de </w:t>
      </w:r>
      <w:r>
        <w:t>“</w:t>
      </w:r>
      <w:r w:rsidRPr="000331D1">
        <w:t>El Niño</w:t>
      </w:r>
      <w:r>
        <w:t>”</w:t>
      </w:r>
      <w:r w:rsidRPr="000331D1">
        <w:t>.</w:t>
      </w:r>
    </w:p>
    <w:p w14:paraId="5668B412" w14:textId="77777777" w:rsidR="00B564D1" w:rsidRDefault="00B564D1" w:rsidP="00B564D1">
      <w:pPr>
        <w:jc w:val="both"/>
      </w:pPr>
      <w:r w:rsidRPr="007110CA">
        <w:t>Por esta razón, de manera articulada y concertada, entre el Ministerio de Minas y Energía, la Unidad de Planeación Minero Energética – UPME, entidades del sector, gremios y agentes de la cadena minero-energética, se estructuró una hoja de ruta con acciones preventivas y de preparación en el marco de la Comisión Asesora de Coordinación y Seguimiento a la Situación Energética del País – CACSSE, orientadas a fortalecer las condiciones requeridas para garantizar la confiabilidad, continuidad y adecuado suministro de energía eléctrica en el país</w:t>
      </w:r>
      <w:r>
        <w:t xml:space="preserve">. </w:t>
      </w:r>
    </w:p>
    <w:p w14:paraId="09D0F0FB" w14:textId="77777777" w:rsidR="00B564D1" w:rsidRDefault="00B564D1" w:rsidP="00B564D1">
      <w:pPr>
        <w:pStyle w:val="Prrafodelista"/>
        <w:numPr>
          <w:ilvl w:val="0"/>
          <w:numId w:val="5"/>
        </w:numPr>
        <w:spacing w:line="278" w:lineRule="auto"/>
        <w:jc w:val="both"/>
      </w:pPr>
      <w:r>
        <w:t>Aumento en tarifas del Caribe</w:t>
      </w:r>
    </w:p>
    <w:p w14:paraId="2FB989E0" w14:textId="77777777" w:rsidR="00B564D1" w:rsidRPr="007110CA" w:rsidRDefault="00B564D1" w:rsidP="00B564D1">
      <w:pPr>
        <w:jc w:val="both"/>
      </w:pPr>
      <w:r w:rsidRPr="007110CA">
        <w:t>El aumento en el CU de AIR-E, pasando de $795.93 a $840 COP/kWh no tiene como única explicación el aumento de la generación de energía eléctrica, sino que también hubo un aumento de los costos de transmisión y pérdidas del sistema.</w:t>
      </w:r>
    </w:p>
    <w:p w14:paraId="7BEB3528" w14:textId="77777777" w:rsidR="00B564D1" w:rsidRDefault="00B564D1" w:rsidP="00B564D1">
      <w:pPr>
        <w:jc w:val="both"/>
      </w:pPr>
      <w:r w:rsidRPr="007110CA">
        <w:t>Respecto al CU de AFINIA, para el mes de junio fue de $896,05 COP/kWh, que si bien es superior al CU de AIR-E, estos dos Operadores de Red no cuentan con la tarifa más cara del Sistema Interconectado Nacional</w:t>
      </w:r>
      <w:r>
        <w:t xml:space="preserve">. </w:t>
      </w:r>
    </w:p>
    <w:p w14:paraId="0963371F" w14:textId="77777777" w:rsidR="00B564D1" w:rsidRDefault="00B564D1" w:rsidP="00B564D1">
      <w:pPr>
        <w:pStyle w:val="Prrafodelista"/>
        <w:numPr>
          <w:ilvl w:val="0"/>
          <w:numId w:val="5"/>
        </w:numPr>
        <w:spacing w:line="278" w:lineRule="auto"/>
        <w:jc w:val="both"/>
      </w:pPr>
      <w:r>
        <w:t>Incidencia del precio de bolsa sobre la tarifa de usuarios residenciales</w:t>
      </w:r>
    </w:p>
    <w:p w14:paraId="3E464FD7" w14:textId="77777777" w:rsidR="00B564D1" w:rsidRDefault="00B564D1" w:rsidP="00B564D1">
      <w:pPr>
        <w:jc w:val="both"/>
      </w:pPr>
      <w:r>
        <w:t xml:space="preserve">Por otro lado, si bien la disminución del recurso hídrico en embalses afecta el costo por usuario, es importante recalcar que para el mercado regulado (mayoritariamente integrado por usuarios residenciales), el costo del componente G de la tarifa de energía está determinado en un porcentaje aproximado del 70% por contratos a largo plazo en el Mercado de energía Mayorista, y el restante  corresponde  a exposición a los precios en la bolsa de energía, (ver </w:t>
      </w:r>
      <w:r>
        <w:fldChar w:fldCharType="begin"/>
      </w:r>
      <w:r>
        <w:instrText xml:space="preserve"> REF _Ref236052848 \h </w:instrText>
      </w:r>
      <w:r>
        <w:fldChar w:fldCharType="separate"/>
      </w:r>
      <w:r>
        <w:t xml:space="preserve">Figura </w:t>
      </w:r>
      <w:r>
        <w:rPr>
          <w:noProof/>
        </w:rPr>
        <w:t>2</w:t>
      </w:r>
      <w:r>
        <w:fldChar w:fldCharType="end"/>
      </w:r>
      <w:r>
        <w:t xml:space="preserve">). Por lo tanto no sería cierto que el aumento total del precio de bolsa sea trasladado al usuario residencial.  </w:t>
      </w:r>
    </w:p>
    <w:p w14:paraId="2A71D20F" w14:textId="77777777" w:rsidR="00B564D1" w:rsidRDefault="00B564D1" w:rsidP="00B564D1">
      <w:pPr>
        <w:pStyle w:val="Descripcin"/>
        <w:jc w:val="center"/>
      </w:pPr>
      <w:bookmarkStart w:id="1" w:name="_Ref236052848"/>
      <w:r>
        <w:t xml:space="preserve">Figura </w:t>
      </w:r>
      <w:r>
        <w:fldChar w:fldCharType="begin"/>
      </w:r>
      <w:r>
        <w:instrText xml:space="preserve"> SEQ Figura \* ARABIC </w:instrText>
      </w:r>
      <w:r>
        <w:fldChar w:fldCharType="separate"/>
      </w:r>
      <w:r>
        <w:rPr>
          <w:noProof/>
        </w:rPr>
        <w:t>2</w:t>
      </w:r>
      <w:r>
        <w:rPr>
          <w:noProof/>
        </w:rPr>
        <w:fldChar w:fldCharType="end"/>
      </w:r>
      <w:bookmarkEnd w:id="1"/>
      <w:r>
        <w:t>. Porcentaje de la cobertura de la demanda regulada</w:t>
      </w:r>
    </w:p>
    <w:p w14:paraId="6B9452F4" w14:textId="77777777" w:rsidR="00B564D1" w:rsidRDefault="00B564D1" w:rsidP="00B564D1">
      <w:pPr>
        <w:jc w:val="both"/>
      </w:pPr>
      <w:r w:rsidRPr="002842A6">
        <w:rPr>
          <w:noProof/>
        </w:rPr>
        <w:drawing>
          <wp:inline distT="0" distB="0" distL="0" distR="0" wp14:anchorId="0E182C19" wp14:editId="5060759A">
            <wp:extent cx="5453062" cy="1088391"/>
            <wp:effectExtent l="0" t="0" r="0" b="0"/>
            <wp:docPr id="3290208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020843" name=""/>
                    <pic:cNvPicPr/>
                  </pic:nvPicPr>
                  <pic:blipFill rotWithShape="1">
                    <a:blip r:embed="rId11"/>
                    <a:srcRect t="7837"/>
                    <a:stretch>
                      <a:fillRect/>
                    </a:stretch>
                  </pic:blipFill>
                  <pic:spPr bwMode="auto">
                    <a:xfrm>
                      <a:off x="0" y="0"/>
                      <a:ext cx="5459634" cy="1089703"/>
                    </a:xfrm>
                    <a:prstGeom prst="rect">
                      <a:avLst/>
                    </a:prstGeom>
                    <a:ln>
                      <a:noFill/>
                    </a:ln>
                    <a:extLst>
                      <a:ext uri="{53640926-AAD7-44D8-BBD7-CCE9431645EC}">
                        <a14:shadowObscured xmlns:a14="http://schemas.microsoft.com/office/drawing/2010/main"/>
                      </a:ext>
                    </a:extLst>
                  </pic:spPr>
                </pic:pic>
              </a:graphicData>
            </a:graphic>
          </wp:inline>
        </w:drawing>
      </w:r>
    </w:p>
    <w:p w14:paraId="343F3BC0" w14:textId="77777777" w:rsidR="00B564D1" w:rsidRDefault="00B564D1" w:rsidP="00B564D1">
      <w:pPr>
        <w:pStyle w:val="Descripcin"/>
        <w:jc w:val="center"/>
      </w:pPr>
      <w:r>
        <w:t>Fuente: Extraído de XM, 2026</w:t>
      </w:r>
    </w:p>
    <w:p w14:paraId="78E3F7CF" w14:textId="77777777" w:rsidR="00B564D1" w:rsidRDefault="00B564D1" w:rsidP="00B564D1">
      <w:pPr>
        <w:pStyle w:val="Prrafodelista"/>
        <w:numPr>
          <w:ilvl w:val="0"/>
          <w:numId w:val="5"/>
        </w:numPr>
        <w:tabs>
          <w:tab w:val="left" w:pos="4253"/>
        </w:tabs>
        <w:spacing w:line="278" w:lineRule="auto"/>
        <w:jc w:val="both"/>
      </w:pPr>
      <w:r>
        <w:t>Deuda del estado con el sector eléctrico</w:t>
      </w:r>
    </w:p>
    <w:p w14:paraId="5CA6AFD7" w14:textId="77777777" w:rsidR="00B564D1" w:rsidRDefault="00B564D1" w:rsidP="00B564D1">
      <w:pPr>
        <w:tabs>
          <w:tab w:val="left" w:pos="4253"/>
        </w:tabs>
        <w:jc w:val="both"/>
      </w:pPr>
      <w:r>
        <w:lastRenderedPageBreak/>
        <w:t xml:space="preserve">Con respecto a las deudas del sector eléctrico, actualmente existe un pasivo por 1,1 billones de pesos (ver </w:t>
      </w:r>
      <w:r>
        <w:fldChar w:fldCharType="begin"/>
      </w:r>
      <w:r>
        <w:instrText xml:space="preserve"> REF _Ref236053915 \h </w:instrText>
      </w:r>
      <w:r>
        <w:fldChar w:fldCharType="separate"/>
      </w:r>
      <w:r>
        <w:t xml:space="preserve">Figura </w:t>
      </w:r>
      <w:r>
        <w:rPr>
          <w:noProof/>
        </w:rPr>
        <w:t>3</w:t>
      </w:r>
      <w:r>
        <w:fldChar w:fldCharType="end"/>
      </w:r>
      <w:r>
        <w:t>)  asociado a subsidios de gas y energía eléctrica (no 9,2 billones como se informa en la publicación).</w:t>
      </w:r>
    </w:p>
    <w:p w14:paraId="01B4BDD3" w14:textId="77777777" w:rsidR="00B564D1" w:rsidRDefault="00B564D1" w:rsidP="00B564D1">
      <w:pPr>
        <w:tabs>
          <w:tab w:val="left" w:pos="4253"/>
        </w:tabs>
        <w:jc w:val="both"/>
      </w:pPr>
      <w:r w:rsidRPr="00177FF6">
        <w:t xml:space="preserve">Respecto a la opción tarifaria, la deuda recibida por cerca de 6 billones en el 2022, actualmente se encuentra cerca </w:t>
      </w:r>
      <w:r>
        <w:t xml:space="preserve">de </w:t>
      </w:r>
      <w:r w:rsidRPr="00177FF6">
        <w:t>1,8 billones.</w:t>
      </w:r>
    </w:p>
    <w:p w14:paraId="0DE2FEA7" w14:textId="77777777" w:rsidR="00B564D1" w:rsidRDefault="00B564D1" w:rsidP="00B564D1">
      <w:pPr>
        <w:tabs>
          <w:tab w:val="left" w:pos="4253"/>
        </w:tabs>
        <w:jc w:val="both"/>
      </w:pPr>
      <w:r w:rsidRPr="00ED5FC0">
        <w:t xml:space="preserve">Por su parte, la deuda de entidades oficiales del estado por la prestación del servicio de energía eléctrica es de cerca de 1,5 billones de pesos, </w:t>
      </w:r>
      <w:r>
        <w:t>la cual</w:t>
      </w:r>
      <w:r w:rsidRPr="00ED5FC0">
        <w:t xml:space="preserve"> debe ser gestionada por cada una de las entidades tanto territoriales como nacionales, según el caso.</w:t>
      </w:r>
    </w:p>
    <w:p w14:paraId="58500C95" w14:textId="77777777" w:rsidR="00B564D1" w:rsidRPr="00434FE3" w:rsidRDefault="00B564D1" w:rsidP="00B564D1">
      <w:pPr>
        <w:tabs>
          <w:tab w:val="left" w:pos="4253"/>
        </w:tabs>
        <w:jc w:val="both"/>
      </w:pPr>
      <w:r w:rsidRPr="00ED5FC0">
        <w:t>Respecto a la deuda de AIR-e, el monto es cercano a los 3,3 billones. Desde el Ministerio de Minas y Energía se ha estado adelantando las gestiones pertinentes con Ministerio de Hacienda y la Superintendencia de Servicios Públicos para saldar este pasivo, de manera que se mitigue el riesgo sistémico para el Sistema Interconectado Nacional</w:t>
      </w:r>
      <w:r>
        <w:t xml:space="preserve">. </w:t>
      </w:r>
    </w:p>
    <w:p w14:paraId="11FF9EA7" w14:textId="77777777" w:rsidR="00B564D1" w:rsidRDefault="00B564D1" w:rsidP="00B564D1">
      <w:pPr>
        <w:pStyle w:val="Descripcin"/>
        <w:jc w:val="center"/>
      </w:pPr>
      <w:bookmarkStart w:id="2" w:name="_Ref236053915"/>
      <w:r>
        <w:t xml:space="preserve">Figura </w:t>
      </w:r>
      <w:r>
        <w:fldChar w:fldCharType="begin"/>
      </w:r>
      <w:r>
        <w:instrText xml:space="preserve"> SEQ Figura \* ARABIC </w:instrText>
      </w:r>
      <w:r>
        <w:fldChar w:fldCharType="separate"/>
      </w:r>
      <w:r>
        <w:rPr>
          <w:noProof/>
        </w:rPr>
        <w:t>3</w:t>
      </w:r>
      <w:r>
        <w:rPr>
          <w:noProof/>
        </w:rPr>
        <w:fldChar w:fldCharType="end"/>
      </w:r>
      <w:bookmarkEnd w:id="2"/>
      <w:r>
        <w:t>. Obligaciones del sector eléctrico</w:t>
      </w:r>
    </w:p>
    <w:p w14:paraId="16761D13" w14:textId="77777777" w:rsidR="00B564D1" w:rsidRDefault="00B564D1" w:rsidP="00B564D1">
      <w:pPr>
        <w:jc w:val="center"/>
      </w:pPr>
      <w:r w:rsidRPr="00A342A1">
        <w:rPr>
          <w:noProof/>
        </w:rPr>
        <w:drawing>
          <wp:inline distT="0" distB="0" distL="0" distR="0" wp14:anchorId="1F8C6977" wp14:editId="68B6CFDF">
            <wp:extent cx="2057356" cy="1914525"/>
            <wp:effectExtent l="0" t="0" r="635" b="0"/>
            <wp:docPr id="5929976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997643" name=""/>
                    <pic:cNvPicPr/>
                  </pic:nvPicPr>
                  <pic:blipFill rotWithShape="1">
                    <a:blip r:embed="rId12"/>
                    <a:srcRect t="7373"/>
                    <a:stretch>
                      <a:fillRect/>
                    </a:stretch>
                  </pic:blipFill>
                  <pic:spPr bwMode="auto">
                    <a:xfrm>
                      <a:off x="0" y="0"/>
                      <a:ext cx="2060761" cy="1917694"/>
                    </a:xfrm>
                    <a:prstGeom prst="rect">
                      <a:avLst/>
                    </a:prstGeom>
                    <a:ln>
                      <a:noFill/>
                    </a:ln>
                    <a:extLst>
                      <a:ext uri="{53640926-AAD7-44D8-BBD7-CCE9431645EC}">
                        <a14:shadowObscured xmlns:a14="http://schemas.microsoft.com/office/drawing/2010/main"/>
                      </a:ext>
                    </a:extLst>
                  </pic:spPr>
                </pic:pic>
              </a:graphicData>
            </a:graphic>
          </wp:inline>
        </w:drawing>
      </w:r>
    </w:p>
    <w:p w14:paraId="4C46226A" w14:textId="77777777" w:rsidR="00B564D1" w:rsidRDefault="00B564D1" w:rsidP="00B564D1">
      <w:pPr>
        <w:pStyle w:val="Descripcin"/>
        <w:jc w:val="center"/>
      </w:pPr>
      <w:r>
        <w:t>Fuente: Grupo de subsidios, MME, 2026</w:t>
      </w:r>
    </w:p>
    <w:p w14:paraId="39A32568" w14:textId="77777777" w:rsidR="00B564D1" w:rsidRPr="0069545A" w:rsidRDefault="00B564D1" w:rsidP="00B564D1">
      <w:r>
        <w:t>Finalmente, la región caribe representa el 2</w:t>
      </w:r>
      <w:r w:rsidRPr="00685E39">
        <w:t xml:space="preserve">8.86 % de la demanda </w:t>
      </w:r>
      <w:r>
        <w:t>nacional, de la cual el 75,5% aproximadamente corresponde al mercado regulado, según lo consultado en XM</w:t>
      </w:r>
      <w:r>
        <w:rPr>
          <w:rStyle w:val="Refdenotaalpie"/>
        </w:rPr>
        <w:footnoteReference w:id="3"/>
      </w:r>
      <w:r>
        <w:t xml:space="preserve">. </w:t>
      </w:r>
    </w:p>
    <w:p w14:paraId="6281F551" w14:textId="1251B3A2" w:rsidR="00A00D01" w:rsidRPr="00B564D1" w:rsidRDefault="00A00D01" w:rsidP="6B2A584D">
      <w:pPr>
        <w:keepNext/>
        <w:keepLines/>
        <w:spacing w:after="0"/>
        <w:jc w:val="both"/>
      </w:pPr>
    </w:p>
    <w:sectPr w:rsidR="00A00D01" w:rsidRPr="00B564D1">
      <w:headerReference w:type="default" r:id="rId13"/>
      <w:foot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31FEA" w14:textId="77777777" w:rsidR="00C86319" w:rsidRDefault="00C86319">
      <w:pPr>
        <w:spacing w:after="0" w:line="240" w:lineRule="auto"/>
      </w:pPr>
      <w:r>
        <w:separator/>
      </w:r>
    </w:p>
  </w:endnote>
  <w:endnote w:type="continuationSeparator" w:id="0">
    <w:p w14:paraId="16827078" w14:textId="77777777" w:rsidR="00C86319" w:rsidRDefault="00C86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3308" w14:textId="5CC988A1" w:rsidR="38D067BE" w:rsidRDefault="38D067BE" w:rsidP="38D067BE">
    <w:pPr>
      <w:pStyle w:val="Piedepgina"/>
      <w:jc w:val="right"/>
      <w:rPr>
        <w:i/>
        <w:iCs/>
        <w:color w:val="808080" w:themeColor="background1" w:themeShade="80"/>
        <w:sz w:val="16"/>
        <w:szCs w:val="16"/>
      </w:rPr>
    </w:pPr>
    <w:r w:rsidRPr="38D067BE">
      <w:rPr>
        <w:i/>
        <w:iCs/>
        <w:color w:val="808080" w:themeColor="background1" w:themeShade="80"/>
        <w:sz w:val="18"/>
        <w:szCs w:val="18"/>
      </w:rPr>
      <w:t>Grupo de Gestión del Sector Eléctrico Colombiano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4D05A" w14:textId="77777777" w:rsidR="00C86319" w:rsidRDefault="00C86319">
      <w:pPr>
        <w:spacing w:after="0" w:line="240" w:lineRule="auto"/>
      </w:pPr>
      <w:r>
        <w:separator/>
      </w:r>
    </w:p>
  </w:footnote>
  <w:footnote w:type="continuationSeparator" w:id="0">
    <w:p w14:paraId="200107B4" w14:textId="77777777" w:rsidR="00C86319" w:rsidRDefault="00C86319">
      <w:pPr>
        <w:spacing w:after="0" w:line="240" w:lineRule="auto"/>
      </w:pPr>
      <w:r>
        <w:continuationSeparator/>
      </w:r>
    </w:p>
  </w:footnote>
  <w:footnote w:id="1">
    <w:p w14:paraId="48518F74" w14:textId="77777777" w:rsidR="00B564D1" w:rsidRDefault="00B564D1" w:rsidP="00B564D1">
      <w:pPr>
        <w:pStyle w:val="Textonotapie"/>
      </w:pPr>
      <w:r>
        <w:rPr>
          <w:rStyle w:val="Refdenotaalpie"/>
        </w:rPr>
        <w:footnoteRef/>
      </w:r>
      <w:r>
        <w:t xml:space="preserve"> Para mayor detalle acceder al siguiente enlace: </w:t>
      </w:r>
      <w:hyperlink r:id="rId1" w:history="1">
        <w:r w:rsidRPr="0055249D">
          <w:rPr>
            <w:rStyle w:val="Hipervnculo"/>
          </w:rPr>
          <w:t>Páginas - Reservas Hídricas del SIN</w:t>
        </w:r>
      </w:hyperlink>
    </w:p>
  </w:footnote>
  <w:footnote w:id="2">
    <w:p w14:paraId="7BF92F20" w14:textId="77777777" w:rsidR="00B564D1" w:rsidRDefault="00B564D1" w:rsidP="00B564D1">
      <w:pPr>
        <w:pStyle w:val="Textonotapie"/>
      </w:pPr>
      <w:r>
        <w:rPr>
          <w:rStyle w:val="Refdenotaalpie"/>
        </w:rPr>
        <w:footnoteRef/>
      </w:r>
      <w:r>
        <w:t xml:space="preserve"> Para mayor detalle, acceder al siguiente enlace: </w:t>
      </w:r>
      <w:hyperlink r:id="rId2" w:history="1">
        <w:r w:rsidRPr="003A025C">
          <w:rPr>
            <w:rStyle w:val="Hipervnculo"/>
          </w:rPr>
          <w:t>comunicado_especial_074_ideam_indica_que_las_condiciones_tipo_el_nino_siguen_fortaleciendose.pdf</w:t>
        </w:r>
      </w:hyperlink>
    </w:p>
  </w:footnote>
  <w:footnote w:id="3">
    <w:p w14:paraId="2191E499" w14:textId="77777777" w:rsidR="00B564D1" w:rsidRPr="00685E39" w:rsidRDefault="00B564D1" w:rsidP="00B564D1">
      <w:pPr>
        <w:pStyle w:val="Textonotapie"/>
        <w:rPr>
          <w:sz w:val="16"/>
          <w:szCs w:val="16"/>
        </w:rPr>
      </w:pPr>
      <w:r w:rsidRPr="00685E39">
        <w:rPr>
          <w:rStyle w:val="Refdenotaalpie"/>
          <w:sz w:val="16"/>
          <w:szCs w:val="16"/>
        </w:rPr>
        <w:footnoteRef/>
      </w:r>
      <w:r w:rsidRPr="00685E39">
        <w:rPr>
          <w:sz w:val="16"/>
          <w:szCs w:val="16"/>
        </w:rPr>
        <w:t xml:space="preserve"> Para más detalle referirse al siguiente enlace: </w:t>
      </w:r>
      <w:hyperlink r:id="rId3" w:history="1">
        <w:r w:rsidRPr="00685E39">
          <w:rPr>
            <w:rStyle w:val="Hipervnculo"/>
            <w:sz w:val="16"/>
            <w:szCs w:val="16"/>
          </w:rPr>
          <w:t>https://servapibi.xm.com.co/</w:t>
        </w:r>
      </w:hyperlink>
      <w:r w:rsidRPr="00685E39">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B7EE6" w14:textId="2A196E46" w:rsidR="6B2A584D" w:rsidRDefault="6B2A584D" w:rsidP="6B2A584D">
    <w:pPr>
      <w:pStyle w:val="Encabezado"/>
      <w:jc w:val="center"/>
    </w:pPr>
    <w:r>
      <w:rPr>
        <w:noProof/>
      </w:rPr>
      <w:drawing>
        <wp:anchor distT="0" distB="0" distL="114300" distR="114300" simplePos="0" relativeHeight="251658240" behindDoc="0" locked="0" layoutInCell="1" allowOverlap="1" wp14:anchorId="3A2CDDDE" wp14:editId="368CD79F">
          <wp:simplePos x="0" y="0"/>
          <wp:positionH relativeFrom="column">
            <wp:posOffset>2486025</wp:posOffset>
          </wp:positionH>
          <wp:positionV relativeFrom="paragraph">
            <wp:posOffset>-171450</wp:posOffset>
          </wp:positionV>
          <wp:extent cx="723900" cy="628650"/>
          <wp:effectExtent l="0" t="0" r="0" b="0"/>
          <wp:wrapNone/>
          <wp:docPr id="16753018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01801" name="Picture 1675301801"/>
                  <pic:cNvPicPr/>
                </pic:nvPicPr>
                <pic:blipFill>
                  <a:blip r:embed="rId1">
                    <a:extLst>
                      <a:ext uri="{28A0092B-C50C-407E-A947-70E740481C1C}">
                        <a14:useLocalDpi xmlns:a14="http://schemas.microsoft.com/office/drawing/2010/main"/>
                      </a:ext>
                    </a:extLst>
                  </a:blip>
                  <a:stretch>
                    <a:fillRect/>
                  </a:stretch>
                </pic:blipFill>
                <pic:spPr>
                  <a:xfrm>
                    <a:off x="0" y="0"/>
                    <a:ext cx="723900" cy="628650"/>
                  </a:xfrm>
                  <a:prstGeom prst="rect">
                    <a:avLst/>
                  </a:prstGeom>
                </pic:spPr>
              </pic:pic>
            </a:graphicData>
          </a:graphic>
          <wp14:sizeRelH relativeFrom="page">
            <wp14:pctWidth>0</wp14:pctWidth>
          </wp14:sizeRelH>
          <wp14:sizeRelV relativeFrom="page">
            <wp14:pctHeight>0</wp14:pctHeight>
          </wp14:sizeRelV>
        </wp:anchor>
      </w:drawing>
    </w:r>
  </w:p>
  <w:p w14:paraId="45E08D83" w14:textId="193F2EDB" w:rsidR="38D067BE" w:rsidRDefault="38D067BE" w:rsidP="38D067BE">
    <w:pPr>
      <w:pStyle w:val="Encabezado"/>
      <w:jc w:val="center"/>
    </w:pPr>
  </w:p>
  <w:p w14:paraId="413EC04D" w14:textId="7186C7FF" w:rsidR="38D067BE" w:rsidRDefault="38D067BE" w:rsidP="38D067BE">
    <w:pPr>
      <w:pStyle w:val="Encabezado"/>
      <w:jc w:val="center"/>
    </w:pPr>
  </w:p>
  <w:p w14:paraId="6A531C7B" w14:textId="77777777" w:rsidR="0048610E" w:rsidRDefault="0048610E" w:rsidP="38D067B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FFA5C"/>
    <w:multiLevelType w:val="multilevel"/>
    <w:tmpl w:val="B4F0C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0B0BFC"/>
    <w:multiLevelType w:val="hybridMultilevel"/>
    <w:tmpl w:val="B32C431C"/>
    <w:lvl w:ilvl="0" w:tplc="FD228FFE">
      <w:start w:val="1"/>
      <w:numFmt w:val="bullet"/>
      <w:lvlText w:val=""/>
      <w:lvlJc w:val="left"/>
      <w:pPr>
        <w:ind w:left="720" w:hanging="360"/>
      </w:pPr>
      <w:rPr>
        <w:rFonts w:ascii="Symbol" w:hAnsi="Symbol" w:hint="default"/>
      </w:rPr>
    </w:lvl>
    <w:lvl w:ilvl="1" w:tplc="A7DAEFD8">
      <w:start w:val="1"/>
      <w:numFmt w:val="bullet"/>
      <w:lvlText w:val="o"/>
      <w:lvlJc w:val="left"/>
      <w:pPr>
        <w:ind w:left="1440" w:hanging="360"/>
      </w:pPr>
      <w:rPr>
        <w:rFonts w:ascii="Courier New" w:hAnsi="Courier New" w:hint="default"/>
      </w:rPr>
    </w:lvl>
    <w:lvl w:ilvl="2" w:tplc="B9F09C06">
      <w:start w:val="1"/>
      <w:numFmt w:val="bullet"/>
      <w:lvlText w:val=""/>
      <w:lvlJc w:val="left"/>
      <w:pPr>
        <w:ind w:left="2160" w:hanging="360"/>
      </w:pPr>
      <w:rPr>
        <w:rFonts w:ascii="Wingdings" w:hAnsi="Wingdings" w:hint="default"/>
      </w:rPr>
    </w:lvl>
    <w:lvl w:ilvl="3" w:tplc="0D00FF54">
      <w:start w:val="1"/>
      <w:numFmt w:val="bullet"/>
      <w:lvlText w:val=""/>
      <w:lvlJc w:val="left"/>
      <w:pPr>
        <w:ind w:left="2880" w:hanging="360"/>
      </w:pPr>
      <w:rPr>
        <w:rFonts w:ascii="Symbol" w:hAnsi="Symbol" w:hint="default"/>
      </w:rPr>
    </w:lvl>
    <w:lvl w:ilvl="4" w:tplc="D0E219C4">
      <w:start w:val="1"/>
      <w:numFmt w:val="bullet"/>
      <w:lvlText w:val="o"/>
      <w:lvlJc w:val="left"/>
      <w:pPr>
        <w:ind w:left="3600" w:hanging="360"/>
      </w:pPr>
      <w:rPr>
        <w:rFonts w:ascii="Courier New" w:hAnsi="Courier New" w:hint="default"/>
      </w:rPr>
    </w:lvl>
    <w:lvl w:ilvl="5" w:tplc="F356E22C">
      <w:start w:val="1"/>
      <w:numFmt w:val="bullet"/>
      <w:lvlText w:val=""/>
      <w:lvlJc w:val="left"/>
      <w:pPr>
        <w:ind w:left="4320" w:hanging="360"/>
      </w:pPr>
      <w:rPr>
        <w:rFonts w:ascii="Wingdings" w:hAnsi="Wingdings" w:hint="default"/>
      </w:rPr>
    </w:lvl>
    <w:lvl w:ilvl="6" w:tplc="452406AC">
      <w:start w:val="1"/>
      <w:numFmt w:val="bullet"/>
      <w:lvlText w:val=""/>
      <w:lvlJc w:val="left"/>
      <w:pPr>
        <w:ind w:left="5040" w:hanging="360"/>
      </w:pPr>
      <w:rPr>
        <w:rFonts w:ascii="Symbol" w:hAnsi="Symbol" w:hint="default"/>
      </w:rPr>
    </w:lvl>
    <w:lvl w:ilvl="7" w:tplc="77160510">
      <w:start w:val="1"/>
      <w:numFmt w:val="bullet"/>
      <w:lvlText w:val="o"/>
      <w:lvlJc w:val="left"/>
      <w:pPr>
        <w:ind w:left="5760" w:hanging="360"/>
      </w:pPr>
      <w:rPr>
        <w:rFonts w:ascii="Courier New" w:hAnsi="Courier New" w:hint="default"/>
      </w:rPr>
    </w:lvl>
    <w:lvl w:ilvl="8" w:tplc="B3B2421E">
      <w:start w:val="1"/>
      <w:numFmt w:val="bullet"/>
      <w:lvlText w:val=""/>
      <w:lvlJc w:val="left"/>
      <w:pPr>
        <w:ind w:left="6480" w:hanging="360"/>
      </w:pPr>
      <w:rPr>
        <w:rFonts w:ascii="Wingdings" w:hAnsi="Wingdings" w:hint="default"/>
      </w:rPr>
    </w:lvl>
  </w:abstractNum>
  <w:abstractNum w:abstractNumId="2" w15:restartNumberingAfterBreak="0">
    <w:nsid w:val="54BAE0E2"/>
    <w:multiLevelType w:val="hybridMultilevel"/>
    <w:tmpl w:val="205EFAD6"/>
    <w:lvl w:ilvl="0" w:tplc="9F564032">
      <w:start w:val="1"/>
      <w:numFmt w:val="bullet"/>
      <w:lvlText w:val=""/>
      <w:lvlJc w:val="left"/>
      <w:pPr>
        <w:ind w:left="720" w:hanging="360"/>
      </w:pPr>
      <w:rPr>
        <w:rFonts w:ascii="Symbol" w:hAnsi="Symbol" w:hint="default"/>
      </w:rPr>
    </w:lvl>
    <w:lvl w:ilvl="1" w:tplc="1D4E954A">
      <w:start w:val="1"/>
      <w:numFmt w:val="bullet"/>
      <w:lvlText w:val="o"/>
      <w:lvlJc w:val="left"/>
      <w:pPr>
        <w:ind w:left="1440" w:hanging="360"/>
      </w:pPr>
      <w:rPr>
        <w:rFonts w:ascii="Courier New" w:hAnsi="Courier New" w:hint="default"/>
      </w:rPr>
    </w:lvl>
    <w:lvl w:ilvl="2" w:tplc="DFBE0702">
      <w:start w:val="1"/>
      <w:numFmt w:val="bullet"/>
      <w:lvlText w:val=""/>
      <w:lvlJc w:val="left"/>
      <w:pPr>
        <w:ind w:left="2160" w:hanging="360"/>
      </w:pPr>
      <w:rPr>
        <w:rFonts w:ascii="Wingdings" w:hAnsi="Wingdings" w:hint="default"/>
      </w:rPr>
    </w:lvl>
    <w:lvl w:ilvl="3" w:tplc="3CAABEA0">
      <w:start w:val="1"/>
      <w:numFmt w:val="bullet"/>
      <w:lvlText w:val=""/>
      <w:lvlJc w:val="left"/>
      <w:pPr>
        <w:ind w:left="2880" w:hanging="360"/>
      </w:pPr>
      <w:rPr>
        <w:rFonts w:ascii="Symbol" w:hAnsi="Symbol" w:hint="default"/>
      </w:rPr>
    </w:lvl>
    <w:lvl w:ilvl="4" w:tplc="AAC00B62">
      <w:start w:val="1"/>
      <w:numFmt w:val="bullet"/>
      <w:lvlText w:val="o"/>
      <w:lvlJc w:val="left"/>
      <w:pPr>
        <w:ind w:left="3600" w:hanging="360"/>
      </w:pPr>
      <w:rPr>
        <w:rFonts w:ascii="Courier New" w:hAnsi="Courier New" w:hint="default"/>
      </w:rPr>
    </w:lvl>
    <w:lvl w:ilvl="5" w:tplc="F018818A">
      <w:start w:val="1"/>
      <w:numFmt w:val="bullet"/>
      <w:lvlText w:val=""/>
      <w:lvlJc w:val="left"/>
      <w:pPr>
        <w:ind w:left="4320" w:hanging="360"/>
      </w:pPr>
      <w:rPr>
        <w:rFonts w:ascii="Wingdings" w:hAnsi="Wingdings" w:hint="default"/>
      </w:rPr>
    </w:lvl>
    <w:lvl w:ilvl="6" w:tplc="2E40B7A8">
      <w:start w:val="1"/>
      <w:numFmt w:val="bullet"/>
      <w:lvlText w:val=""/>
      <w:lvlJc w:val="left"/>
      <w:pPr>
        <w:ind w:left="5040" w:hanging="360"/>
      </w:pPr>
      <w:rPr>
        <w:rFonts w:ascii="Symbol" w:hAnsi="Symbol" w:hint="default"/>
      </w:rPr>
    </w:lvl>
    <w:lvl w:ilvl="7" w:tplc="22FEABE4">
      <w:start w:val="1"/>
      <w:numFmt w:val="bullet"/>
      <w:lvlText w:val="o"/>
      <w:lvlJc w:val="left"/>
      <w:pPr>
        <w:ind w:left="5760" w:hanging="360"/>
      </w:pPr>
      <w:rPr>
        <w:rFonts w:ascii="Courier New" w:hAnsi="Courier New" w:hint="default"/>
      </w:rPr>
    </w:lvl>
    <w:lvl w:ilvl="8" w:tplc="DA860962">
      <w:start w:val="1"/>
      <w:numFmt w:val="bullet"/>
      <w:lvlText w:val=""/>
      <w:lvlJc w:val="left"/>
      <w:pPr>
        <w:ind w:left="6480" w:hanging="360"/>
      </w:pPr>
      <w:rPr>
        <w:rFonts w:ascii="Wingdings" w:hAnsi="Wingdings" w:hint="default"/>
      </w:rPr>
    </w:lvl>
  </w:abstractNum>
  <w:abstractNum w:abstractNumId="3" w15:restartNumberingAfterBreak="0">
    <w:nsid w:val="59DFC805"/>
    <w:multiLevelType w:val="hybridMultilevel"/>
    <w:tmpl w:val="E926E1F2"/>
    <w:lvl w:ilvl="0" w:tplc="B2D044BC">
      <w:start w:val="1"/>
      <w:numFmt w:val="decimal"/>
      <w:lvlText w:val="%1."/>
      <w:lvlJc w:val="left"/>
      <w:pPr>
        <w:ind w:left="720" w:hanging="360"/>
      </w:pPr>
    </w:lvl>
    <w:lvl w:ilvl="1" w:tplc="4CACE500">
      <w:start w:val="1"/>
      <w:numFmt w:val="lowerLetter"/>
      <w:lvlText w:val="%2."/>
      <w:lvlJc w:val="left"/>
      <w:pPr>
        <w:ind w:left="1440" w:hanging="360"/>
      </w:pPr>
    </w:lvl>
    <w:lvl w:ilvl="2" w:tplc="B61036AE">
      <w:start w:val="1"/>
      <w:numFmt w:val="lowerRoman"/>
      <w:lvlText w:val="%3."/>
      <w:lvlJc w:val="right"/>
      <w:pPr>
        <w:ind w:left="2160" w:hanging="180"/>
      </w:pPr>
    </w:lvl>
    <w:lvl w:ilvl="3" w:tplc="113CAF7E">
      <w:start w:val="1"/>
      <w:numFmt w:val="decimal"/>
      <w:lvlText w:val="%4."/>
      <w:lvlJc w:val="left"/>
      <w:pPr>
        <w:ind w:left="2880" w:hanging="360"/>
      </w:pPr>
    </w:lvl>
    <w:lvl w:ilvl="4" w:tplc="0CFEAD52">
      <w:start w:val="1"/>
      <w:numFmt w:val="lowerLetter"/>
      <w:lvlText w:val="%5."/>
      <w:lvlJc w:val="left"/>
      <w:pPr>
        <w:ind w:left="3600" w:hanging="360"/>
      </w:pPr>
    </w:lvl>
    <w:lvl w:ilvl="5" w:tplc="C9623490">
      <w:start w:val="1"/>
      <w:numFmt w:val="lowerRoman"/>
      <w:lvlText w:val="%6."/>
      <w:lvlJc w:val="right"/>
      <w:pPr>
        <w:ind w:left="4320" w:hanging="180"/>
      </w:pPr>
    </w:lvl>
    <w:lvl w:ilvl="6" w:tplc="F8CE8398">
      <w:start w:val="1"/>
      <w:numFmt w:val="decimal"/>
      <w:lvlText w:val="%7."/>
      <w:lvlJc w:val="left"/>
      <w:pPr>
        <w:ind w:left="5040" w:hanging="360"/>
      </w:pPr>
    </w:lvl>
    <w:lvl w:ilvl="7" w:tplc="E98C45A4">
      <w:start w:val="1"/>
      <w:numFmt w:val="lowerLetter"/>
      <w:lvlText w:val="%8."/>
      <w:lvlJc w:val="left"/>
      <w:pPr>
        <w:ind w:left="5760" w:hanging="360"/>
      </w:pPr>
    </w:lvl>
    <w:lvl w:ilvl="8" w:tplc="3816296E">
      <w:start w:val="1"/>
      <w:numFmt w:val="lowerRoman"/>
      <w:lvlText w:val="%9."/>
      <w:lvlJc w:val="right"/>
      <w:pPr>
        <w:ind w:left="6480" w:hanging="180"/>
      </w:pPr>
    </w:lvl>
  </w:abstractNum>
  <w:abstractNum w:abstractNumId="4" w15:restartNumberingAfterBreak="0">
    <w:nsid w:val="616A71F5"/>
    <w:multiLevelType w:val="hybridMultilevel"/>
    <w:tmpl w:val="8D78A4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27671644">
    <w:abstractNumId w:val="1"/>
  </w:num>
  <w:num w:numId="2" w16cid:durableId="2078093443">
    <w:abstractNumId w:val="2"/>
  </w:num>
  <w:num w:numId="3" w16cid:durableId="317459419">
    <w:abstractNumId w:val="3"/>
  </w:num>
  <w:num w:numId="4" w16cid:durableId="1221483016">
    <w:abstractNumId w:val="0"/>
  </w:num>
  <w:num w:numId="5" w16cid:durableId="7446446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F35A91"/>
    <w:rsid w:val="0048610E"/>
    <w:rsid w:val="00666325"/>
    <w:rsid w:val="00A00D01"/>
    <w:rsid w:val="00B564D1"/>
    <w:rsid w:val="00B6300E"/>
    <w:rsid w:val="00C86319"/>
    <w:rsid w:val="02575793"/>
    <w:rsid w:val="028633D9"/>
    <w:rsid w:val="029C20C5"/>
    <w:rsid w:val="04277651"/>
    <w:rsid w:val="043DE039"/>
    <w:rsid w:val="05D9682B"/>
    <w:rsid w:val="07051F2F"/>
    <w:rsid w:val="07FBBF41"/>
    <w:rsid w:val="08C60DE1"/>
    <w:rsid w:val="092A6B09"/>
    <w:rsid w:val="09F59747"/>
    <w:rsid w:val="0DA455B0"/>
    <w:rsid w:val="0E2C1324"/>
    <w:rsid w:val="0E2EBF36"/>
    <w:rsid w:val="0F4B630D"/>
    <w:rsid w:val="11EA0448"/>
    <w:rsid w:val="12135B49"/>
    <w:rsid w:val="1238EFC7"/>
    <w:rsid w:val="12AC8425"/>
    <w:rsid w:val="12ED7E8C"/>
    <w:rsid w:val="12F10001"/>
    <w:rsid w:val="135432CB"/>
    <w:rsid w:val="14671AA2"/>
    <w:rsid w:val="149C9962"/>
    <w:rsid w:val="15FAF50F"/>
    <w:rsid w:val="1700281D"/>
    <w:rsid w:val="191DEF71"/>
    <w:rsid w:val="1B411178"/>
    <w:rsid w:val="1F65CE87"/>
    <w:rsid w:val="2010F8E6"/>
    <w:rsid w:val="203C6BF3"/>
    <w:rsid w:val="208A5413"/>
    <w:rsid w:val="22243D5A"/>
    <w:rsid w:val="234A9D38"/>
    <w:rsid w:val="25E3B94D"/>
    <w:rsid w:val="27D19F43"/>
    <w:rsid w:val="27D3C88E"/>
    <w:rsid w:val="2B035140"/>
    <w:rsid w:val="2B4D33E7"/>
    <w:rsid w:val="2DFBE109"/>
    <w:rsid w:val="2E79B607"/>
    <w:rsid w:val="2F52DC46"/>
    <w:rsid w:val="2F590FEA"/>
    <w:rsid w:val="2FB8056D"/>
    <w:rsid w:val="30758091"/>
    <w:rsid w:val="314B159C"/>
    <w:rsid w:val="322039A1"/>
    <w:rsid w:val="326DDA1D"/>
    <w:rsid w:val="34A48EBE"/>
    <w:rsid w:val="3599E281"/>
    <w:rsid w:val="38D067BE"/>
    <w:rsid w:val="3A08AE05"/>
    <w:rsid w:val="3C71BF4E"/>
    <w:rsid w:val="3E42C5A2"/>
    <w:rsid w:val="3E900F54"/>
    <w:rsid w:val="3F0C6768"/>
    <w:rsid w:val="3F27D705"/>
    <w:rsid w:val="4098CC20"/>
    <w:rsid w:val="416F43CE"/>
    <w:rsid w:val="44C83845"/>
    <w:rsid w:val="44CF0029"/>
    <w:rsid w:val="47F6ACC6"/>
    <w:rsid w:val="4D8331E9"/>
    <w:rsid w:val="4E9394FA"/>
    <w:rsid w:val="4F49F7F6"/>
    <w:rsid w:val="56A8F774"/>
    <w:rsid w:val="5AF35A91"/>
    <w:rsid w:val="5D714153"/>
    <w:rsid w:val="5EDF88DF"/>
    <w:rsid w:val="5F1B5BD2"/>
    <w:rsid w:val="60275F20"/>
    <w:rsid w:val="611430BD"/>
    <w:rsid w:val="61775A0C"/>
    <w:rsid w:val="620BC7E3"/>
    <w:rsid w:val="621958D8"/>
    <w:rsid w:val="63750A61"/>
    <w:rsid w:val="63D5EB22"/>
    <w:rsid w:val="663EA7A8"/>
    <w:rsid w:val="664A3B66"/>
    <w:rsid w:val="66BA4B53"/>
    <w:rsid w:val="671D176A"/>
    <w:rsid w:val="676EE902"/>
    <w:rsid w:val="68C3BFFA"/>
    <w:rsid w:val="68F9EA85"/>
    <w:rsid w:val="693AD425"/>
    <w:rsid w:val="69C409D1"/>
    <w:rsid w:val="6A91E915"/>
    <w:rsid w:val="6B2A584D"/>
    <w:rsid w:val="6B479BF9"/>
    <w:rsid w:val="6CA9E215"/>
    <w:rsid w:val="6FFDA25A"/>
    <w:rsid w:val="712ADA5B"/>
    <w:rsid w:val="718A6106"/>
    <w:rsid w:val="71D5C45C"/>
    <w:rsid w:val="73707F31"/>
    <w:rsid w:val="73E7A56B"/>
    <w:rsid w:val="779A79F4"/>
    <w:rsid w:val="78C28160"/>
    <w:rsid w:val="7AD1E659"/>
    <w:rsid w:val="7AEFFDB3"/>
    <w:rsid w:val="7C47440E"/>
    <w:rsid w:val="7D43766F"/>
    <w:rsid w:val="7D7981F1"/>
    <w:rsid w:val="7F201B3E"/>
    <w:rsid w:val="7F47E9FF"/>
    <w:rsid w:val="7F4F4624"/>
    <w:rsid w:val="7FF557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AD4A"/>
  <w15:chartTrackingRefBased/>
  <w15:docId w15:val="{8BCD7061-80E7-4CFA-913B-694096BA7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paragraph" w:styleId="Prrafodelista">
    <w:name w:val="List Paragraph"/>
    <w:basedOn w:val="Normal"/>
    <w:uiPriority w:val="34"/>
    <w:qFormat/>
    <w:pPr>
      <w:ind w:left="720"/>
      <w:contextualSpacing/>
    </w:pPr>
  </w:style>
  <w:style w:type="paragraph" w:styleId="Encabezado">
    <w:name w:val="header"/>
    <w:basedOn w:val="Normal"/>
    <w:uiPriority w:val="99"/>
    <w:unhideWhenUsed/>
    <w:rsid w:val="6B2A584D"/>
    <w:pPr>
      <w:tabs>
        <w:tab w:val="center" w:pos="4680"/>
        <w:tab w:val="right" w:pos="9360"/>
      </w:tabs>
      <w:spacing w:after="0" w:line="240" w:lineRule="auto"/>
    </w:pPr>
  </w:style>
  <w:style w:type="paragraph" w:styleId="Piedepgina">
    <w:name w:val="footer"/>
    <w:basedOn w:val="Normal"/>
    <w:uiPriority w:val="99"/>
    <w:unhideWhenUsed/>
    <w:rsid w:val="6B2A584D"/>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B564D1"/>
    <w:pPr>
      <w:spacing w:after="0" w:line="240" w:lineRule="auto"/>
    </w:pPr>
    <w:rPr>
      <w:kern w:val="2"/>
      <w:sz w:val="20"/>
      <w:szCs w:val="20"/>
      <w:lang w:val="es-CO"/>
      <w14:ligatures w14:val="standardContextual"/>
    </w:rPr>
  </w:style>
  <w:style w:type="character" w:customStyle="1" w:styleId="TextonotapieCar">
    <w:name w:val="Texto nota pie Car"/>
    <w:basedOn w:val="Fuentedeprrafopredeter"/>
    <w:link w:val="Textonotapie"/>
    <w:uiPriority w:val="99"/>
    <w:semiHidden/>
    <w:rsid w:val="00B564D1"/>
    <w:rPr>
      <w:kern w:val="2"/>
      <w:sz w:val="20"/>
      <w:szCs w:val="20"/>
      <w:lang w:val="es-CO"/>
      <w14:ligatures w14:val="standardContextual"/>
    </w:rPr>
  </w:style>
  <w:style w:type="character" w:styleId="Refdenotaalpie">
    <w:name w:val="footnote reference"/>
    <w:basedOn w:val="Fuentedeprrafopredeter"/>
    <w:uiPriority w:val="99"/>
    <w:semiHidden/>
    <w:unhideWhenUsed/>
    <w:rsid w:val="00B564D1"/>
    <w:rPr>
      <w:vertAlign w:val="superscript"/>
    </w:rPr>
  </w:style>
  <w:style w:type="character" w:styleId="Hipervnculo">
    <w:name w:val="Hyperlink"/>
    <w:basedOn w:val="Fuentedeprrafopredeter"/>
    <w:uiPriority w:val="99"/>
    <w:unhideWhenUsed/>
    <w:rsid w:val="00B564D1"/>
    <w:rPr>
      <w:color w:val="467886" w:themeColor="hyperlink"/>
      <w:u w:val="single"/>
    </w:rPr>
  </w:style>
  <w:style w:type="paragraph" w:styleId="Descripcin">
    <w:name w:val="caption"/>
    <w:basedOn w:val="Normal"/>
    <w:next w:val="Normal"/>
    <w:uiPriority w:val="35"/>
    <w:unhideWhenUsed/>
    <w:qFormat/>
    <w:rsid w:val="00B564D1"/>
    <w:pPr>
      <w:spacing w:after="200" w:line="240" w:lineRule="auto"/>
    </w:pPr>
    <w:rPr>
      <w:i/>
      <w:iCs/>
      <w:color w:val="0E2841" w:themeColor="text2"/>
      <w:kern w:val="2"/>
      <w:sz w:val="18"/>
      <w:szCs w:val="18"/>
      <w:lang w:val="es-C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servapibi.xm.com.co/" TargetMode="External"/><Relationship Id="rId2" Type="http://schemas.openxmlformats.org/officeDocument/2006/relationships/hyperlink" Target="https://www.ideam.gov.co/sites/default/files/prensa/boletines/2026-07-11/comunicado_especial_074_ideam_indica_que_las_condiciones_tipo_el_nino_siguen_fortaleciendose.pdf" TargetMode="External"/><Relationship Id="rId1" Type="http://schemas.openxmlformats.org/officeDocument/2006/relationships/hyperlink" Target="https://sinergox.xm.com.co/hdrlg/Paginas/Informes/ReservasHidricasSIN.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58E2C-9BC2-4F5D-91D4-E99BB9C0F7E6}">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B8BAA34B-A5D0-4D43-9C06-F2FA348093FD}"/>
</file>

<file path=customXml/itemProps3.xml><?xml version="1.0" encoding="utf-8"?>
<ds:datastoreItem xmlns:ds="http://schemas.openxmlformats.org/officeDocument/2006/customXml" ds:itemID="{716E1841-3CA8-4EEC-BCDA-BC7D4A39DC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758</Words>
  <Characters>4171</Characters>
  <Application>Microsoft Office Word</Application>
  <DocSecurity>0</DocSecurity>
  <Lines>34</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SANCHEZ SALAZAR</dc:creator>
  <cp:keywords/>
  <dc:description/>
  <cp:lastModifiedBy>Sol Deviia</cp:lastModifiedBy>
  <cp:revision>3</cp:revision>
  <dcterms:created xsi:type="dcterms:W3CDTF">2026-04-23T14:37:00Z</dcterms:created>
  <dcterms:modified xsi:type="dcterms:W3CDTF">2026-07-27T20:42:00Z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